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B17C2A">
        <w:rPr>
          <w:i/>
          <w:sz w:val="20"/>
          <w:szCs w:val="20"/>
        </w:rPr>
        <w:t>2</w:t>
      </w:r>
      <w:r w:rsidR="00180CC0">
        <w:rPr>
          <w:i/>
          <w:sz w:val="20"/>
          <w:szCs w:val="20"/>
        </w:rPr>
        <w:t>8</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21A14"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21A14">
        <w:rPr>
          <w:b/>
        </w:rPr>
        <w:t>и</w:t>
      </w:r>
      <w:r w:rsidR="00221A14" w:rsidRPr="00221A14">
        <w:rPr>
          <w:b/>
        </w:rPr>
        <w:t>зготовление выставочного стенда, табличек, обслуживание доски почета</w:t>
      </w:r>
    </w:p>
    <w:p w:rsidR="002F529A" w:rsidRDefault="00221A14" w:rsidP="002F529A">
      <w:pPr>
        <w:jc w:val="center"/>
        <w:rPr>
          <w:b/>
        </w:rPr>
      </w:pPr>
      <w:r>
        <w:rPr>
          <w:b/>
        </w:rPr>
        <w:t xml:space="preserve"> </w:t>
      </w:r>
      <w:r w:rsidR="002F529A" w:rsidRPr="002F529A">
        <w:rPr>
          <w:b/>
        </w:rPr>
        <w:t>для нужд ПАО</w:t>
      </w:r>
      <w:r>
        <w:rPr>
          <w:b/>
        </w:rPr>
        <w:t> </w:t>
      </w:r>
      <w:r w:rsidR="002F529A" w:rsidRPr="002F529A">
        <w:rPr>
          <w:b/>
        </w:rPr>
        <w:t>«Томскэнергосбыт»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3</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6</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6</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9</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27</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28</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47</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48</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49</w:t>
            </w:r>
            <w:r w:rsidR="003E7847" w:rsidRPr="00060712">
              <w:rPr>
                <w:noProof/>
                <w:webHidden/>
                <w:sz w:val="28"/>
                <w:szCs w:val="28"/>
              </w:rPr>
              <w:fldChar w:fldCharType="end"/>
            </w:r>
          </w:hyperlink>
        </w:p>
        <w:p w:rsidR="003E7847" w:rsidRPr="00060712" w:rsidRDefault="00221A14"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6A37AE">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C3021" w:rsidRDefault="006C3021">
      <w:pPr>
        <w:widowControl/>
        <w:autoSpaceDE/>
        <w:autoSpaceDN/>
        <w:adjustRightInd/>
        <w:spacing w:after="200" w:line="276" w:lineRule="auto"/>
        <w:rPr>
          <w:b/>
          <w:color w:val="000000"/>
          <w:sz w:val="28"/>
          <w:szCs w:val="28"/>
        </w:rPr>
      </w:pPr>
      <w:r>
        <w:rPr>
          <w:b/>
          <w:color w:val="000000"/>
          <w:sz w:val="28"/>
          <w:szCs w:val="28"/>
        </w:rPr>
        <w:br w:type="page"/>
      </w: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0E5C47">
        <w:rPr>
          <w:b/>
        </w:rPr>
        <w:t xml:space="preserve"> </w:t>
      </w:r>
      <w:r w:rsidR="00221A14" w:rsidRPr="00221A14">
        <w:t>Изготовление выставочного стенда, табличек, обслуживание доски почета.</w:t>
      </w:r>
    </w:p>
    <w:p w:rsidR="00B53CAB" w:rsidRDefault="00180CC0" w:rsidP="00B53CAB">
      <w:pPr>
        <w:widowControl/>
        <w:tabs>
          <w:tab w:val="num" w:pos="567"/>
          <w:tab w:val="left" w:pos="1134"/>
        </w:tabs>
        <w:adjustRightInd/>
        <w:ind w:firstLine="709"/>
        <w:jc w:val="both"/>
      </w:pPr>
      <w:r w:rsidRPr="00180CC0">
        <w:rPr>
          <w:b/>
        </w:rPr>
        <w:t>Объем оказываемых услуг</w:t>
      </w:r>
      <w:r w:rsidR="000E5C47">
        <w:rPr>
          <w:b/>
        </w:rPr>
        <w:t>:</w:t>
      </w:r>
      <w:r w:rsidR="000E5C47">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180CC0" w:rsidRPr="00180CC0">
        <w:rPr>
          <w:b/>
        </w:rPr>
        <w:t>оказания услуг</w:t>
      </w:r>
      <w:r w:rsidR="0095076C" w:rsidRPr="00EF3BB6">
        <w:rPr>
          <w:b/>
        </w:rPr>
        <w:t>:</w:t>
      </w:r>
      <w:bookmarkEnd w:id="42"/>
      <w:bookmarkEnd w:id="43"/>
      <w:bookmarkEnd w:id="44"/>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180CC0" w:rsidRPr="00180CC0">
        <w:rPr>
          <w:b/>
        </w:rPr>
        <w:t>оказания услуг</w:t>
      </w:r>
      <w:r w:rsidR="005D0329" w:rsidRPr="001179C8">
        <w:t>:</w:t>
      </w:r>
      <w:bookmarkEnd w:id="45"/>
      <w:bookmarkEnd w:id="46"/>
      <w:bookmarkEnd w:id="47"/>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3358F6">
        <w:rPr>
          <w:b/>
        </w:rPr>
        <w:t xml:space="preserve"> </w:t>
      </w:r>
      <w:r w:rsidR="00221A14" w:rsidRPr="00221A14">
        <w:t>579</w:t>
      </w:r>
      <w:r w:rsidR="00221A14">
        <w:t> </w:t>
      </w:r>
      <w:r w:rsidR="00221A14" w:rsidRPr="00221A14">
        <w:t>866,67</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lastRenderedPageBreak/>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180CC0">
        <w:rPr>
          <w:color w:val="548DD4" w:themeColor="text2" w:themeTint="99"/>
        </w:rPr>
        <w:t>28</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180CC0">
        <w:rPr>
          <w:color w:val="548DD4" w:themeColor="text2" w:themeTint="99"/>
        </w:rPr>
        <w:t>1</w:t>
      </w:r>
      <w:r w:rsidR="00221A14">
        <w:rPr>
          <w:color w:val="548DD4" w:themeColor="text2" w:themeTint="99"/>
        </w:rPr>
        <w:t>3</w:t>
      </w:r>
      <w:r w:rsidRPr="002C0D62">
        <w:rPr>
          <w:color w:val="548DD4" w:themeColor="text2" w:themeTint="99"/>
        </w:rPr>
        <w:t xml:space="preserve">» </w:t>
      </w:r>
      <w:r w:rsidR="006C3021">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C3021">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180CC0">
        <w:rPr>
          <w:color w:val="548DD4"/>
        </w:rPr>
        <w:t>1</w:t>
      </w:r>
      <w:r w:rsidR="00221A14">
        <w:rPr>
          <w:color w:val="548DD4"/>
        </w:rPr>
        <w:t>3</w:t>
      </w:r>
      <w:r w:rsidR="00AF33C1" w:rsidRPr="00DE4371">
        <w:rPr>
          <w:color w:val="548DD4"/>
        </w:rPr>
        <w:t xml:space="preserve">» </w:t>
      </w:r>
      <w:r w:rsidR="006C3021">
        <w:rPr>
          <w:color w:val="548DD4" w:themeColor="text2" w:themeTint="99"/>
        </w:rPr>
        <w:t>марта</w:t>
      </w:r>
      <w:r w:rsidR="00C94D3F">
        <w:rPr>
          <w:color w:val="548DD4" w:themeColor="text2" w:themeTint="99"/>
        </w:rPr>
        <w:t xml:space="preserve">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6C3021">
        <w:rPr>
          <w:color w:val="548DD4"/>
        </w:rPr>
        <w:t>11</w:t>
      </w:r>
      <w:r w:rsidRPr="00DE4371">
        <w:rPr>
          <w:color w:val="548DD4"/>
        </w:rPr>
        <w:t>:</w:t>
      </w:r>
      <w:r w:rsidR="003358F6">
        <w:rPr>
          <w:color w:val="548DD4"/>
        </w:rPr>
        <w:t xml:space="preserve">00 </w:t>
      </w:r>
      <w:r w:rsidRPr="00DE4371">
        <w:rPr>
          <w:color w:val="548DD4"/>
        </w:rPr>
        <w:t>(по московскому времени) «</w:t>
      </w:r>
      <w:r w:rsidR="00180CC0">
        <w:rPr>
          <w:color w:val="548DD4"/>
        </w:rPr>
        <w:t>1</w:t>
      </w:r>
      <w:r w:rsidR="00221A14">
        <w:rPr>
          <w:color w:val="548DD4"/>
        </w:rPr>
        <w:t>3</w:t>
      </w:r>
      <w:r w:rsidRPr="00DE4371">
        <w:rPr>
          <w:color w:val="548DD4"/>
        </w:rPr>
        <w:t xml:space="preserve">» </w:t>
      </w:r>
      <w:r w:rsidR="006C3021">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221A14">
        <w:rPr>
          <w:color w:val="548DD4"/>
        </w:rPr>
        <w:t>12</w:t>
      </w:r>
      <w:bookmarkStart w:id="81" w:name="_GoBack"/>
      <w:bookmarkEnd w:id="81"/>
      <w:r w:rsidR="00AF33C1" w:rsidRPr="00DE4371">
        <w:rPr>
          <w:color w:val="548DD4"/>
        </w:rPr>
        <w:t>» </w:t>
      </w:r>
      <w:r w:rsidR="006C3021">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w:t>
      </w:r>
      <w:r w:rsidRPr="00297AA2">
        <w:lastRenderedPageBreak/>
        <w:t xml:space="preserve">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lastRenderedPageBreak/>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w:t>
      </w:r>
      <w:r>
        <w:lastRenderedPageBreak/>
        <w:t>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w:t>
      </w:r>
      <w:r w:rsidRPr="002E2BE8">
        <w:lastRenderedPageBreak/>
        <w:t>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w:t>
      </w:r>
      <w:r>
        <w:rPr>
          <w:i/>
          <w:iCs/>
        </w:rPr>
        <w:lastRenderedPageBreak/>
        <w:t>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w:t>
      </w:r>
      <w:r w:rsidR="00CC6345" w:rsidRPr="002E2BE8">
        <w:lastRenderedPageBreak/>
        <w:t xml:space="preserve">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lastRenderedPageBreak/>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lastRenderedPageBreak/>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lastRenderedPageBreak/>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 xml:space="preserve">не соответствия сведений, указанных Потенциальным участником, в </w:t>
      </w:r>
      <w:r w:rsidRPr="00001D90">
        <w:lastRenderedPageBreak/>
        <w:t>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xml:space="preserve">/ </w:t>
      </w:r>
      <w:r w:rsidR="00052DDA">
        <w:lastRenderedPageBreak/>
        <w:t>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 xml:space="preserve">обедителя сразу, либо устанавливает окончательные общие требования к </w:t>
      </w:r>
      <w:r w:rsidRPr="00187458">
        <w:lastRenderedPageBreak/>
        <w:t>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w:t>
      </w:r>
      <w:r>
        <w:lastRenderedPageBreak/>
        <w:t xml:space="preserve">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w:t>
      </w:r>
      <w:r>
        <w:lastRenderedPageBreak/>
        <w:t xml:space="preserve">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Pr="002E2BE8">
        <w:lastRenderedPageBreak/>
        <w:t xml:space="preserve">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w:t>
      </w:r>
      <w:r w:rsidRPr="00FB6A4D">
        <w:lastRenderedPageBreak/>
        <w:t xml:space="preserve">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lastRenderedPageBreak/>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lastRenderedPageBreak/>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lastRenderedPageBreak/>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lastRenderedPageBreak/>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w:t>
            </w:r>
            <w:r w:rsidRPr="00BB4ABB">
              <w:rPr>
                <w:snapToGrid w:val="0"/>
                <w:color w:val="FF0000"/>
                <w:sz w:val="16"/>
                <w:szCs w:val="16"/>
              </w:rPr>
              <w:lastRenderedPageBreak/>
              <w:t>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w:t>
            </w:r>
            <w:r w:rsidRPr="008F19B8">
              <w:rPr>
                <w:snapToGrid w:val="0"/>
                <w:color w:val="000000"/>
                <w:sz w:val="16"/>
                <w:szCs w:val="16"/>
              </w:rPr>
              <w:lastRenderedPageBreak/>
              <w:t>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Копия страхового свидетельства </w:t>
            </w:r>
            <w:r w:rsidRPr="00066461">
              <w:rPr>
                <w:snapToGrid w:val="0"/>
                <w:sz w:val="16"/>
                <w:szCs w:val="16"/>
              </w:rPr>
              <w:lastRenderedPageBreak/>
              <w:t>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w:t>
            </w:r>
            <w:r w:rsidRPr="00663490">
              <w:rPr>
                <w:snapToGrid w:val="0"/>
                <w:color w:val="FF0000"/>
                <w:sz w:val="16"/>
                <w:szCs w:val="16"/>
              </w:rPr>
              <w:lastRenderedPageBreak/>
              <w:t>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 xml:space="preserve">Субъекты, сдающие декларации в ИФНС России в электронном виде, совместно с заверенными копиями деклараций и </w:t>
            </w:r>
            <w:r w:rsidRPr="00572EEC">
              <w:rPr>
                <w:snapToGrid w:val="0"/>
                <w:sz w:val="16"/>
                <w:szCs w:val="16"/>
              </w:rPr>
              <w:lastRenderedPageBreak/>
              <w:t>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lastRenderedPageBreak/>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663490">
              <w:rPr>
                <w:snapToGrid w:val="0"/>
                <w:color w:val="FF0000"/>
                <w:sz w:val="16"/>
                <w:szCs w:val="16"/>
              </w:rPr>
              <w:lastRenderedPageBreak/>
              <w:t xml:space="preserve">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221A14"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w:t>
            </w:r>
            <w:r w:rsidRPr="00120353">
              <w:rPr>
                <w:i/>
                <w:color w:val="000000"/>
                <w:sz w:val="16"/>
                <w:szCs w:val="16"/>
              </w:rPr>
              <w:lastRenderedPageBreak/>
              <w:t>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lastRenderedPageBreak/>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6A37AE">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написаны </w:t>
      </w:r>
      <w:r w:rsidRPr="002E2BE8">
        <w:lastRenderedPageBreak/>
        <w:t>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6A37AE">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w:t>
      </w:r>
      <w:r w:rsidRPr="002E2BE8">
        <w:lastRenderedPageBreak/>
        <w:t xml:space="preserve">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lastRenderedPageBreak/>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w:t>
      </w:r>
      <w:r>
        <w:lastRenderedPageBreak/>
        <w:t>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w:t>
      </w:r>
      <w:r w:rsidRPr="00343A81">
        <w:lastRenderedPageBreak/>
        <w:t xml:space="preserve">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w:t>
      </w:r>
      <w:r w:rsidRPr="00343A81">
        <w:lastRenderedPageBreak/>
        <w:t>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w:t>
      </w:r>
      <w:r w:rsidRPr="00343A81">
        <w:lastRenderedPageBreak/>
        <w:t xml:space="preserve">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 xml:space="preserve">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w:t>
      </w:r>
      <w:r w:rsidRPr="000A05D0">
        <w:rPr>
          <w:bCs/>
        </w:rPr>
        <w:lastRenderedPageBreak/>
        <w:t>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A37AE">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w:t>
      </w:r>
      <w:r w:rsidRPr="00627465">
        <w:rPr>
          <w:i/>
          <w:color w:val="548DD4" w:themeColor="text2" w:themeTint="99"/>
        </w:rPr>
        <w:lastRenderedPageBreak/>
        <w:t xml:space="preserve">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 xml:space="preserve">нужное </w:t>
      </w:r>
      <w:r w:rsidRPr="00297AA2">
        <w:rPr>
          <w:i/>
          <w:color w:val="548DD4" w:themeColor="text2" w:themeTint="99"/>
        </w:rPr>
        <w:lastRenderedPageBreak/>
        <w:t>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w:t>
            </w:r>
            <w:r w:rsidRPr="00035E3B">
              <w:rPr>
                <w:color w:val="000000"/>
                <w:lang w:eastAsia="en-US"/>
              </w:rPr>
              <w:lastRenderedPageBreak/>
              <w:t>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w:t>
            </w:r>
            <w:r w:rsidRPr="00035E3B">
              <w:rPr>
                <w:b/>
                <w:color w:val="000000"/>
                <w:lang w:eastAsia="en-US"/>
              </w:rPr>
              <w:lastRenderedPageBreak/>
              <w:t xml:space="preserve">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w:t>
            </w:r>
            <w:r w:rsidRPr="00035E3B">
              <w:rPr>
                <w:color w:val="000000"/>
                <w:lang w:eastAsia="en-US"/>
              </w:rPr>
              <w:lastRenderedPageBreak/>
              <w:t xml:space="preserve">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сумма </w:t>
            </w:r>
            <w:r w:rsidRPr="00035E3B">
              <w:rPr>
                <w:color w:val="000000"/>
                <w:lang w:eastAsia="en-US"/>
              </w:rPr>
              <w:lastRenderedPageBreak/>
              <w:t>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lastRenderedPageBreak/>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w:t>
            </w:r>
            <w:r w:rsidRPr="00035E3B">
              <w:rPr>
                <w:color w:val="000000"/>
                <w:lang w:eastAsia="en-US"/>
              </w:rPr>
              <w:lastRenderedPageBreak/>
              <w:t xml:space="preserve">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7E" w:rsidRDefault="0087397E" w:rsidP="00706E83">
      <w:r>
        <w:separator/>
      </w:r>
    </w:p>
  </w:endnote>
  <w:endnote w:type="continuationSeparator" w:id="0">
    <w:p w:rsidR="0087397E" w:rsidRDefault="0087397E" w:rsidP="00706E83">
      <w:r>
        <w:continuationSeparator/>
      </w:r>
    </w:p>
  </w:endnote>
  <w:endnote w:id="1">
    <w:p w:rsidR="0087397E" w:rsidRDefault="0087397E" w:rsidP="00730E95">
      <w:pPr>
        <w:pStyle w:val="afffb"/>
        <w:ind w:firstLine="567"/>
        <w:jc w:val="both"/>
      </w:pPr>
    </w:p>
  </w:endnote>
  <w:endnote w:id="2">
    <w:p w:rsidR="0087397E" w:rsidRDefault="0087397E" w:rsidP="00635200">
      <w:pPr>
        <w:pStyle w:val="afffb"/>
        <w:jc w:val="both"/>
      </w:pPr>
    </w:p>
  </w:endnote>
  <w:endnote w:id="3">
    <w:p w:rsidR="0087397E" w:rsidRDefault="0087397E"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sidR="00221A14">
      <w:rPr>
        <w:i/>
        <w:color w:val="548DD4" w:themeColor="text2" w:themeTint="99"/>
        <w:sz w:val="20"/>
        <w:szCs w:val="20"/>
      </w:rPr>
      <w:t>и</w:t>
    </w:r>
    <w:r w:rsidR="00221A14" w:rsidRPr="00221A14">
      <w:rPr>
        <w:i/>
        <w:color w:val="548DD4" w:themeColor="text2" w:themeTint="99"/>
        <w:sz w:val="20"/>
        <w:szCs w:val="20"/>
      </w:rPr>
      <w:t>зготовление выставочного стенда, табл</w:t>
    </w:r>
    <w:r w:rsidR="00221A14">
      <w:rPr>
        <w:i/>
        <w:color w:val="548DD4" w:themeColor="text2" w:themeTint="99"/>
        <w:sz w:val="20"/>
        <w:szCs w:val="20"/>
      </w:rPr>
      <w:t xml:space="preserve">ичек, обслуживание доски почета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7E" w:rsidRDefault="0087397E" w:rsidP="00706E83">
      <w:r>
        <w:separator/>
      </w:r>
    </w:p>
  </w:footnote>
  <w:footnote w:type="continuationSeparator" w:id="0">
    <w:p w:rsidR="0087397E" w:rsidRDefault="0087397E" w:rsidP="00706E83">
      <w:r>
        <w:continuationSeparator/>
      </w:r>
    </w:p>
  </w:footnote>
  <w:footnote w:id="1">
    <w:p w:rsidR="0087397E" w:rsidRDefault="0087397E"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7397E" w:rsidRDefault="0087397E" w:rsidP="00605888">
      <w:pPr>
        <w:pStyle w:val="afd"/>
      </w:pPr>
    </w:p>
  </w:footnote>
  <w:footnote w:id="2">
    <w:p w:rsidR="0087397E" w:rsidRDefault="0087397E"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7397E" w:rsidRDefault="0087397E"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7397E" w:rsidRDefault="0087397E"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7397E" w:rsidRDefault="0087397E" w:rsidP="006325CA">
      <w:pPr>
        <w:pStyle w:val="afd"/>
      </w:pPr>
    </w:p>
  </w:footnote>
  <w:footnote w:id="3">
    <w:p w:rsidR="0087397E" w:rsidRPr="00C01A4A" w:rsidRDefault="0087397E"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7397E" w:rsidRDefault="0087397E"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7397E" w:rsidRPr="00117D04" w:rsidRDefault="0087397E"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1"/>
    </w:pPr>
  </w:p>
  <w:p w:rsidR="0087397E" w:rsidRDefault="008739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5B58D1" w:rsidRDefault="0087397E" w:rsidP="00766DD0">
    <w:pPr>
      <w:ind w:right="-283"/>
      <w:jc w:val="center"/>
      <w:rPr>
        <w:color w:val="17365D" w:themeColor="text2" w:themeShade="BF"/>
        <w:sz w:val="18"/>
        <w:szCs w:val="18"/>
      </w:rPr>
    </w:pPr>
    <w:r>
      <w:rPr>
        <w:noProof/>
      </w:rPr>
      <w:drawing>
        <wp:inline distT="0" distB="0" distL="0" distR="0" wp14:anchorId="33ED6A8A" wp14:editId="361D0879">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221A14">
          <w:rPr>
            <w:noProof/>
          </w:rPr>
          <w:t>119</w:t>
        </w:r>
        <w:r>
          <w:fldChar w:fldCharType="end"/>
        </w:r>
      </w:p>
    </w:sdtContent>
  </w:sdt>
  <w:p w:rsidR="0087397E" w:rsidRDefault="0087397E"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221A14">
          <w:rPr>
            <w:noProof/>
          </w:rPr>
          <w:t>123</w:t>
        </w:r>
        <w:r>
          <w:fldChar w:fldCharType="end"/>
        </w:r>
      </w:p>
    </w:sdtContent>
  </w:sdt>
  <w:p w:rsidR="0087397E" w:rsidRDefault="0087397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0CC0"/>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1A14"/>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3D7F"/>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2941"/>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37AE"/>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021"/>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397E"/>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C2A"/>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6BC3"/>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1EE25-1DDC-40C0-817E-5D1DB434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123</Pages>
  <Words>32802</Words>
  <Characters>186978</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107</cp:revision>
  <cp:lastPrinted>2017-02-27T09:41:00Z</cp:lastPrinted>
  <dcterms:created xsi:type="dcterms:W3CDTF">2015-09-28T06:57:00Z</dcterms:created>
  <dcterms:modified xsi:type="dcterms:W3CDTF">2017-02-28T07:35:00Z</dcterms:modified>
</cp:coreProperties>
</file>